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21" w:rsidRDefault="00057E21" w:rsidP="00057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5D299E" wp14:editId="32125982">
            <wp:extent cx="5133975" cy="886460"/>
            <wp:effectExtent l="0" t="0" r="952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E2" w:rsidRDefault="003E06E2" w:rsidP="003E06E2">
      <w:pPr>
        <w:rPr>
          <w:rFonts w:ascii="Times New Roman" w:hAnsi="Times New Roman" w:cs="Times New Roman"/>
          <w:sz w:val="24"/>
          <w:szCs w:val="24"/>
        </w:rPr>
      </w:pPr>
    </w:p>
    <w:p w:rsidR="001F1EA7" w:rsidRDefault="003E06E2" w:rsidP="003E0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Limbažos</w:t>
      </w:r>
    </w:p>
    <w:p w:rsidR="006D16EA" w:rsidRDefault="006D16EA" w:rsidP="003E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6EA" w:rsidRDefault="00CC5913" w:rsidP="003E0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Datums skatāms laika zīmogā,</w:t>
      </w:r>
      <w:r w:rsidR="006D16EA">
        <w:rPr>
          <w:rFonts w:ascii="Times New Roman" w:hAnsi="Times New Roman" w:cs="Times New Roman"/>
          <w:sz w:val="24"/>
          <w:szCs w:val="24"/>
        </w:rPr>
        <w:t xml:space="preserve">  Nr. </w:t>
      </w:r>
      <w:r w:rsidR="00B24536">
        <w:rPr>
          <w:rFonts w:ascii="Times New Roman" w:hAnsi="Times New Roman" w:cs="Times New Roman"/>
          <w:sz w:val="24"/>
          <w:szCs w:val="24"/>
        </w:rPr>
        <w:t>4</w:t>
      </w:r>
      <w:r w:rsidR="006D16EA">
        <w:rPr>
          <w:rFonts w:ascii="Times New Roman" w:hAnsi="Times New Roman" w:cs="Times New Roman"/>
          <w:sz w:val="24"/>
          <w:szCs w:val="24"/>
        </w:rPr>
        <w:tab/>
      </w:r>
      <w:r w:rsidR="006D16EA">
        <w:rPr>
          <w:rFonts w:ascii="Times New Roman" w:hAnsi="Times New Roman" w:cs="Times New Roman"/>
          <w:sz w:val="24"/>
          <w:szCs w:val="24"/>
        </w:rPr>
        <w:tab/>
      </w:r>
    </w:p>
    <w:p w:rsidR="006D16EA" w:rsidRDefault="00B24536" w:rsidP="006D16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 Izglītības un zinātnes ministrijai</w:t>
      </w:r>
    </w:p>
    <w:p w:rsidR="00B24536" w:rsidRDefault="00B24536" w:rsidP="006D16EA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6506">
          <w:rPr>
            <w:rStyle w:val="Hipersaite"/>
            <w:rFonts w:ascii="Times New Roman" w:hAnsi="Times New Roman" w:cs="Times New Roman"/>
            <w:sz w:val="24"/>
            <w:szCs w:val="24"/>
          </w:rPr>
          <w:t>pasts@izm.gov.lv</w:t>
        </w:r>
      </w:hyperlink>
    </w:p>
    <w:p w:rsidR="00B24536" w:rsidRDefault="00B24536" w:rsidP="006D16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4536" w:rsidRPr="00B24536" w:rsidRDefault="00B24536" w:rsidP="006D16E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4536">
        <w:rPr>
          <w:rFonts w:ascii="Times New Roman" w:hAnsi="Times New Roman" w:cs="Times New Roman"/>
          <w:sz w:val="24"/>
          <w:szCs w:val="24"/>
          <w:u w:val="single"/>
        </w:rPr>
        <w:t>Informācijai:</w:t>
      </w:r>
    </w:p>
    <w:p w:rsidR="00B24536" w:rsidRDefault="00B24536" w:rsidP="006D16EA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56506">
          <w:rPr>
            <w:rStyle w:val="Hipersaite"/>
            <w:rFonts w:ascii="Times New Roman" w:hAnsi="Times New Roman" w:cs="Times New Roman"/>
            <w:sz w:val="24"/>
            <w:szCs w:val="24"/>
          </w:rPr>
          <w:t>inta.susta@izm.gov.lv</w:t>
        </w:r>
      </w:hyperlink>
    </w:p>
    <w:p w:rsidR="00B24536" w:rsidRPr="006E24EF" w:rsidRDefault="00B24536" w:rsidP="006D16EA">
      <w:pPr>
        <w:jc w:val="right"/>
        <w:rPr>
          <w:rFonts w:ascii="Times New Roman" w:hAnsi="Times New Roman" w:cs="Times New Roman"/>
          <w:sz w:val="6"/>
          <w:szCs w:val="24"/>
        </w:rPr>
      </w:pPr>
    </w:p>
    <w:p w:rsidR="00433658" w:rsidRDefault="00B24536" w:rsidP="00A920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Latvijas Sporta izglītības iestāžu Direktoru padomes</w:t>
      </w:r>
    </w:p>
    <w:p w:rsidR="00B24536" w:rsidRDefault="00497EC7" w:rsidP="00A920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atkārtoti </w:t>
      </w:r>
      <w:r w:rsidR="00B24536">
        <w:rPr>
          <w:rFonts w:ascii="Times New Roman" w:hAnsi="Times New Roman" w:cs="Times New Roman"/>
          <w:i/>
          <w:sz w:val="24"/>
          <w:szCs w:val="24"/>
        </w:rPr>
        <w:t>priekšlikumi Valdības rīcības plānam:</w:t>
      </w:r>
    </w:p>
    <w:p w:rsidR="00B24536" w:rsidRDefault="00B24536" w:rsidP="00A920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atabula"/>
        <w:tblW w:w="14737" w:type="dxa"/>
        <w:jc w:val="center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290"/>
        <w:gridCol w:w="690"/>
        <w:gridCol w:w="709"/>
        <w:gridCol w:w="2551"/>
        <w:gridCol w:w="1843"/>
        <w:gridCol w:w="2835"/>
        <w:gridCol w:w="1276"/>
        <w:gridCol w:w="850"/>
        <w:gridCol w:w="1276"/>
        <w:gridCol w:w="1417"/>
      </w:tblGrid>
      <w:tr w:rsidR="00DC5F90" w:rsidRPr="006E24EF" w:rsidTr="00312E5F">
        <w:trPr>
          <w:trHeight w:val="1607"/>
          <w:jc w:val="center"/>
        </w:trPr>
        <w:tc>
          <w:tcPr>
            <w:tcW w:w="1290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Deklarācijas sadaļa un rīcības joma</w:t>
            </w:r>
          </w:p>
        </w:tc>
        <w:tc>
          <w:tcPr>
            <w:tcW w:w="690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Deklarācijā dotā uzdevuma numurs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Pasākuma numurs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Deklarācijā dotais uzdevums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Rīcības plāna pasākums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Darbības rezultāts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Nacionālā attīstības plāna (NAP) uzdevuma numurs un NAP rādītājs (ja attiecināms)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Atbildīgā institūcija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Līdzatbildīgās institūcijas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  <w:hideMark/>
          </w:tcPr>
          <w:p w:rsidR="006E24EF" w:rsidRPr="00CC5913" w:rsidRDefault="006E24EF" w:rsidP="006E24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Izpildes termiņš (</w:t>
            </w:r>
            <w:proofErr w:type="spellStart"/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dd.mm.gggg</w:t>
            </w:r>
            <w:proofErr w:type="spellEnd"/>
            <w:r w:rsidRPr="00CC591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</w:tr>
      <w:tr w:rsidR="00DC5F90" w:rsidRPr="006E24EF" w:rsidTr="00312E5F">
        <w:trPr>
          <w:trHeight w:val="447"/>
          <w:jc w:val="center"/>
        </w:trPr>
        <w:tc>
          <w:tcPr>
            <w:tcW w:w="1290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5F90">
              <w:rPr>
                <w:rFonts w:ascii="Times New Roman" w:hAnsi="Times New Roman" w:cs="Times New Roman"/>
                <w:sz w:val="20"/>
              </w:rPr>
              <w:t>II. IZGLĪTĪBA</w:t>
            </w:r>
            <w:r w:rsidRPr="00DC5F90">
              <w:rPr>
                <w:rFonts w:ascii="Times New Roman" w:hAnsi="Times New Roman" w:cs="Times New Roman"/>
                <w:sz w:val="20"/>
              </w:rPr>
              <w:br/>
            </w:r>
            <w:r w:rsidRPr="00DC5F90">
              <w:rPr>
                <w:rFonts w:ascii="Times New Roman" w:hAnsi="Times New Roman" w:cs="Times New Roman"/>
                <w:bCs/>
                <w:sz w:val="20"/>
              </w:rPr>
              <w:t>Sports, jaunatnes politika un interešu izglītība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087.</w:t>
            </w:r>
          </w:p>
        </w:tc>
        <w:tc>
          <w:tcPr>
            <w:tcW w:w="709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87.6</w:t>
            </w:r>
          </w:p>
        </w:tc>
        <w:tc>
          <w:tcPr>
            <w:tcW w:w="2551" w:type="dxa"/>
            <w:shd w:val="clear" w:color="auto" w:fill="auto"/>
          </w:tcPr>
          <w:p w:rsidR="006E24EF" w:rsidRPr="00DC5F90" w:rsidRDefault="006E24EF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Pilnveidosim sporta nozares tiesisko regulējumu, finansēšanas un pārvaldības sistēmu, tai skaitā pārskatot nevalstiskajām sporta organizācijām valsts deleģētos uzdevumus, kā arī izveidosim ilgtermiņā prognozējamu finansēšanas modeli augstu sasniegumu sportā, tai skaitā </w:t>
            </w:r>
            <w:proofErr w:type="spellStart"/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paralimpiskajā</w:t>
            </w:r>
            <w:proofErr w:type="spellEnd"/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kustībā.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5F90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"Sporta" fonda izveide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24EF" w:rsidRPr="00DC5F90" w:rsidRDefault="00DC5F90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1.Papildus finanšu avotu piesaiste sporta nozarei, t.sk. bērnu un jauniešu sportam, un tautas sportam.                                             2. Sporta projektu finansēšana: 2.1.pasākumu (sacensības, festivāli, olimpiādes, sporta nometnes) organizēšana; 2.2.sporta aprīkojums, inventārs modernizēšana un iegāde; 2.3.metodisko materiālu izstrāde; 2.4.kultūrvēsturisko sporta vērtību apzināšana, saglabāšana.                                                                      3. Materiālās bāzes pilnveide - digitālo rīku iegāde un programmu izstrāde.</w:t>
            </w:r>
          </w:p>
        </w:tc>
        <w:tc>
          <w:tcPr>
            <w:tcW w:w="1276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24EF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IZM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4EF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FM; NVO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4EF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31.12.2024.</w:t>
            </w:r>
          </w:p>
        </w:tc>
      </w:tr>
      <w:tr w:rsidR="002E6A63" w:rsidRPr="006E24EF" w:rsidTr="00312E5F">
        <w:trPr>
          <w:trHeight w:val="1740"/>
          <w:jc w:val="center"/>
        </w:trPr>
        <w:tc>
          <w:tcPr>
            <w:tcW w:w="1290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5F90">
              <w:rPr>
                <w:rFonts w:ascii="Times New Roman" w:hAnsi="Times New Roman" w:cs="Times New Roman"/>
                <w:sz w:val="20"/>
              </w:rPr>
              <w:t>II. IZGLĪTĪBA</w:t>
            </w:r>
            <w:r w:rsidRPr="00DC5F90">
              <w:rPr>
                <w:rFonts w:ascii="Times New Roman" w:hAnsi="Times New Roman" w:cs="Times New Roman"/>
                <w:sz w:val="20"/>
              </w:rPr>
              <w:br/>
            </w:r>
            <w:r w:rsidRPr="00DC5F90">
              <w:rPr>
                <w:rFonts w:ascii="Times New Roman" w:hAnsi="Times New Roman" w:cs="Times New Roman"/>
                <w:bCs/>
                <w:sz w:val="20"/>
              </w:rPr>
              <w:t>Sports, jaunatnes politika un interešu izglītība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E24EF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088.</w:t>
            </w:r>
          </w:p>
        </w:tc>
        <w:tc>
          <w:tcPr>
            <w:tcW w:w="709" w:type="dxa"/>
            <w:shd w:val="clear" w:color="auto" w:fill="auto"/>
          </w:tcPr>
          <w:p w:rsidR="006E24EF" w:rsidRPr="00DC5F90" w:rsidRDefault="00DC5F90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88.2</w:t>
            </w:r>
          </w:p>
        </w:tc>
        <w:tc>
          <w:tcPr>
            <w:tcW w:w="2551" w:type="dxa"/>
            <w:shd w:val="clear" w:color="auto" w:fill="auto"/>
          </w:tcPr>
          <w:p w:rsidR="00DC5F90" w:rsidRPr="00DC5F90" w:rsidRDefault="00DC5F90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Attīstīsim sporta infrastruktūru, sekmēsim tās pieejamību.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24EF" w:rsidRPr="00DC5F90" w:rsidRDefault="00DC5F90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5F90">
              <w:rPr>
                <w:rFonts w:ascii="Times New Roman" w:hAnsi="Times New Roman" w:cs="Times New Roman"/>
                <w:bCs/>
                <w:sz w:val="20"/>
                <w:szCs w:val="24"/>
              </w:rPr>
              <w:t>Veicot esošās sporta infrastruktūras novērtējumu, apstiprināt prioritāri atbalstāmo valsts nozīmes sporta infrastruktūras projektu sarakstu un noteiksim to finansēšanas modeli.</w:t>
            </w:r>
          </w:p>
        </w:tc>
        <w:tc>
          <w:tcPr>
            <w:tcW w:w="2835" w:type="dxa"/>
            <w:shd w:val="clear" w:color="auto" w:fill="auto"/>
          </w:tcPr>
          <w:p w:rsidR="00C95AD8" w:rsidRDefault="00C95AD8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95AD8">
              <w:rPr>
                <w:rFonts w:ascii="Times New Roman" w:hAnsi="Times New Roman" w:cs="Times New Roman"/>
                <w:bCs/>
                <w:sz w:val="20"/>
                <w:szCs w:val="24"/>
              </w:rPr>
              <w:t>1) Veikts esošās sporta infrastruktūras kartējums, kā arī nozīmīguma un ietekmes novērtējums.</w:t>
            </w:r>
            <w:r w:rsidRPr="00C95AD8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2) MK apstiprināts prioritāri atbalstāmo valsts nozīmes sporta infrastruktūras projektu saraksts un to finansēšanas modelis, tādejādi veicinot sporta infrastruktūras attīstību, objektu ilgtspējību, noslodzi un ekonomiski pamatotu darbību.</w:t>
            </w:r>
          </w:p>
          <w:p w:rsidR="006E24EF" w:rsidRPr="00DC5F90" w:rsidRDefault="00C95AD8" w:rsidP="00C95AD8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3)Attīstīt sporta infrastruktūras attīstību pašvaldībās ar sakārtotu skolu tīklu.</w:t>
            </w:r>
          </w:p>
        </w:tc>
        <w:tc>
          <w:tcPr>
            <w:tcW w:w="1276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24EF" w:rsidRPr="00DC5F90" w:rsidRDefault="00C95AD8" w:rsidP="00C95AD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IZM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4EF" w:rsidRPr="00DC5F90" w:rsidRDefault="00C95AD8" w:rsidP="00C95AD8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VARAM, NVO, LPS, LLPA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4EF" w:rsidRPr="00C95AD8" w:rsidRDefault="00C95AD8" w:rsidP="00C95AD8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95AD8">
              <w:rPr>
                <w:rFonts w:ascii="Times New Roman" w:hAnsi="Times New Roman" w:cs="Times New Roman"/>
                <w:bCs/>
                <w:sz w:val="20"/>
                <w:szCs w:val="24"/>
              </w:rPr>
              <w:t>1)31.12.2024.</w:t>
            </w:r>
          </w:p>
          <w:p w:rsidR="00C95AD8" w:rsidRPr="00DC5F90" w:rsidRDefault="00C95AD8" w:rsidP="00C95AD8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95AD8">
              <w:rPr>
                <w:rFonts w:ascii="Times New Roman" w:hAnsi="Times New Roman" w:cs="Times New Roman"/>
                <w:bCs/>
                <w:sz w:val="20"/>
                <w:szCs w:val="24"/>
              </w:rPr>
              <w:t>2) 31.12.2025.</w:t>
            </w:r>
          </w:p>
        </w:tc>
      </w:tr>
      <w:tr w:rsidR="002E6A63" w:rsidRPr="006E24EF" w:rsidTr="00312E5F">
        <w:trPr>
          <w:trHeight w:val="5312"/>
          <w:jc w:val="center"/>
        </w:trPr>
        <w:tc>
          <w:tcPr>
            <w:tcW w:w="1290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5F90">
              <w:rPr>
                <w:rFonts w:ascii="Times New Roman" w:hAnsi="Times New Roman" w:cs="Times New Roman"/>
                <w:sz w:val="20"/>
              </w:rPr>
              <w:t>II. IZGLĪTĪBA</w:t>
            </w:r>
            <w:r w:rsidRPr="00DC5F90">
              <w:rPr>
                <w:rFonts w:ascii="Times New Roman" w:hAnsi="Times New Roman" w:cs="Times New Roman"/>
                <w:sz w:val="20"/>
              </w:rPr>
              <w:br/>
            </w:r>
            <w:r w:rsidRPr="00DC5F90">
              <w:rPr>
                <w:rFonts w:ascii="Times New Roman" w:hAnsi="Times New Roman" w:cs="Times New Roman"/>
                <w:bCs/>
                <w:sz w:val="20"/>
              </w:rPr>
              <w:t>Sports, jaunatnes politika un interešu izglītība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E24EF" w:rsidRPr="00DC5F90" w:rsidRDefault="002E6A63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089.</w:t>
            </w:r>
          </w:p>
        </w:tc>
        <w:tc>
          <w:tcPr>
            <w:tcW w:w="709" w:type="dxa"/>
            <w:shd w:val="clear" w:color="auto" w:fill="auto"/>
          </w:tcPr>
          <w:p w:rsidR="006E24EF" w:rsidRPr="00DC5F90" w:rsidRDefault="002E6A63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89.3</w:t>
            </w:r>
          </w:p>
        </w:tc>
        <w:tc>
          <w:tcPr>
            <w:tcW w:w="2551" w:type="dxa"/>
            <w:shd w:val="clear" w:color="auto" w:fill="auto"/>
          </w:tcPr>
          <w:p w:rsidR="002E6A63" w:rsidRPr="002E6A63" w:rsidRDefault="002E6A63" w:rsidP="002E6A6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Nodrošināsim prioritāti bērnu un jauniešu sporta attīstībai. </w:t>
            </w:r>
          </w:p>
          <w:p w:rsidR="006E24EF" w:rsidRPr="00DC5F90" w:rsidRDefault="006E24EF" w:rsidP="002E6A6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24EF" w:rsidRPr="00DC5F90" w:rsidRDefault="002E6A63" w:rsidP="002E6A6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>Pilnveidot jaunatnes treneru atalgojuma sistēmu, PAREDZOT: 1. 100% apmērā nodrošināts valsts budžeta finansējums profesionālās</w:t>
            </w: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ievirzes sporta izglītības iestāžu pedagogu darba samaksai un valsts sociālās apdrošināšanas</w:t>
            </w: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iemaksām.;                                                                2. apmaksātus pedagogu papildus darba pienākumi (14%);                                                  3. sporta pedagogu (treneru) slodzes sabalansētību.</w:t>
            </w:r>
          </w:p>
        </w:tc>
        <w:tc>
          <w:tcPr>
            <w:tcW w:w="2835" w:type="dxa"/>
            <w:shd w:val="clear" w:color="auto" w:fill="auto"/>
          </w:tcPr>
          <w:p w:rsidR="002E6A63" w:rsidRPr="002E6A63" w:rsidRDefault="002E6A63" w:rsidP="002E6A6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1. Nodrošināti kvalificēti sporta speciālisti (treneri) profesionālās ievirzes sporta izglītības programmu realizēšanai.                                                                                 2. Apmaksāti treneru papildus darba pienākumi.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</w:t>
            </w: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3. Novērsta treneru pārslodze un izdegšana darbā.              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</w:t>
            </w: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4. Piesaistīti jauni pedago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g</w:t>
            </w:r>
            <w:r w:rsidRPr="002E6A6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 darbā ar bērniem un jauniešiem.      </w:t>
            </w:r>
          </w:p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24EF" w:rsidRPr="00DC5F90" w:rsidRDefault="006E24EF" w:rsidP="00DC5F90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A63">
              <w:rPr>
                <w:rFonts w:ascii="Times New Roman" w:hAnsi="Times New Roman" w:cs="Times New Roman"/>
                <w:sz w:val="20"/>
              </w:rPr>
              <w:t xml:space="preserve">IZM </w:t>
            </w: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E24EF" w:rsidRPr="002E6A63" w:rsidRDefault="006E24EF" w:rsidP="002E6A6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A63">
              <w:rPr>
                <w:rFonts w:ascii="Times New Roman" w:hAnsi="Times New Roman" w:cs="Times New Roman"/>
                <w:sz w:val="20"/>
              </w:rPr>
              <w:t>FM,  pašvaldības</w:t>
            </w:r>
          </w:p>
          <w:p w:rsidR="006E24EF" w:rsidRPr="002E6A63" w:rsidRDefault="006E24EF" w:rsidP="002E6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6A63" w:rsidRPr="002E6A63" w:rsidRDefault="002E6A63" w:rsidP="002E6A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A63">
              <w:rPr>
                <w:rFonts w:ascii="Times New Roman" w:hAnsi="Times New Roman" w:cs="Times New Roman"/>
                <w:sz w:val="20"/>
              </w:rPr>
              <w:t>31.12.2023.</w:t>
            </w:r>
          </w:p>
          <w:p w:rsidR="006E24EF" w:rsidRPr="002E6A63" w:rsidRDefault="006E24EF" w:rsidP="002E6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B24536" w:rsidRDefault="00B24536" w:rsidP="0029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913" w:rsidRDefault="00CC5913" w:rsidP="0029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C3A" w:rsidRDefault="00295C3A" w:rsidP="0029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LSIIDP valdes priekšsēdētāja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Diāna Zaļupe</w:t>
      </w:r>
    </w:p>
    <w:p w:rsidR="00295C3A" w:rsidRPr="00295C3A" w:rsidRDefault="00295C3A" w:rsidP="0029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Zaļupe 29420426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40A" w:rsidRDefault="00E4640A" w:rsidP="00891909">
      <w:pPr>
        <w:rPr>
          <w:rFonts w:ascii="Times New Roman" w:hAnsi="Times New Roman" w:cs="Times New Roman"/>
          <w:sz w:val="20"/>
          <w:szCs w:val="26"/>
        </w:rPr>
      </w:pPr>
    </w:p>
    <w:p w:rsidR="00891909" w:rsidRPr="00891909" w:rsidRDefault="00891909" w:rsidP="00CC5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7C1">
        <w:rPr>
          <w:rFonts w:ascii="Times New Roman" w:hAnsi="Times New Roman" w:cs="Times New Roman"/>
          <w:sz w:val="20"/>
          <w:szCs w:val="26"/>
        </w:rPr>
        <w:t>DOKUMENTS PARAKSTĪTS AR DROŠU ELEKTRONISKO PARAKSTU UN SATUR LAIKA ZĪMOGU</w:t>
      </w:r>
    </w:p>
    <w:sectPr w:rsidR="00891909" w:rsidRPr="00891909" w:rsidSect="001D43ED">
      <w:headerReference w:type="default" r:id="rId10"/>
      <w:footerReference w:type="default" r:id="rId11"/>
      <w:pgSz w:w="16838" w:h="11906" w:orient="landscape"/>
      <w:pgMar w:top="142" w:right="1103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8A" w:rsidRDefault="00A3228A" w:rsidP="00681053">
      <w:r>
        <w:separator/>
      </w:r>
    </w:p>
  </w:endnote>
  <w:endnote w:type="continuationSeparator" w:id="0">
    <w:p w:rsidR="00A3228A" w:rsidRDefault="00A3228A" w:rsidP="0068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4C9" w:rsidRDefault="007F34C9" w:rsidP="00C3493E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8A" w:rsidRDefault="00A3228A" w:rsidP="00681053">
      <w:r>
        <w:separator/>
      </w:r>
    </w:p>
  </w:footnote>
  <w:footnote w:type="continuationSeparator" w:id="0">
    <w:p w:rsidR="00A3228A" w:rsidRDefault="00A3228A" w:rsidP="0068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4C9" w:rsidRDefault="007F34C9">
    <w:pPr>
      <w:pStyle w:val="Galvene"/>
    </w:pPr>
  </w:p>
  <w:p w:rsidR="007F34C9" w:rsidRDefault="007F34C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7898"/>
    <w:multiLevelType w:val="hybridMultilevel"/>
    <w:tmpl w:val="43EAB35E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924C6"/>
    <w:multiLevelType w:val="hybridMultilevel"/>
    <w:tmpl w:val="91C0EC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58BC"/>
    <w:multiLevelType w:val="hybridMultilevel"/>
    <w:tmpl w:val="DA9C15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5255"/>
    <w:multiLevelType w:val="hybridMultilevel"/>
    <w:tmpl w:val="EB107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5D7A"/>
    <w:multiLevelType w:val="hybridMultilevel"/>
    <w:tmpl w:val="433E0464"/>
    <w:lvl w:ilvl="0" w:tplc="B59819E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1CFA"/>
    <w:multiLevelType w:val="hybridMultilevel"/>
    <w:tmpl w:val="EB107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F1A"/>
    <w:multiLevelType w:val="hybridMultilevel"/>
    <w:tmpl w:val="40B84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B0F"/>
    <w:multiLevelType w:val="hybridMultilevel"/>
    <w:tmpl w:val="025A9F62"/>
    <w:lvl w:ilvl="0" w:tplc="0ED44F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009CC"/>
    <w:multiLevelType w:val="hybridMultilevel"/>
    <w:tmpl w:val="3618C6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4070"/>
    <w:multiLevelType w:val="hybridMultilevel"/>
    <w:tmpl w:val="6FA0D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7A9C"/>
    <w:multiLevelType w:val="hybridMultilevel"/>
    <w:tmpl w:val="2F5419E2"/>
    <w:lvl w:ilvl="0" w:tplc="DA801FA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96FBB"/>
    <w:multiLevelType w:val="hybridMultilevel"/>
    <w:tmpl w:val="21A40A76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5652C"/>
    <w:multiLevelType w:val="hybridMultilevel"/>
    <w:tmpl w:val="1AC44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C7513"/>
    <w:multiLevelType w:val="hybridMultilevel"/>
    <w:tmpl w:val="33DA8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40E0"/>
    <w:multiLevelType w:val="hybridMultilevel"/>
    <w:tmpl w:val="4AD899B0"/>
    <w:lvl w:ilvl="0" w:tplc="DA801FA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5359FF"/>
    <w:multiLevelType w:val="hybridMultilevel"/>
    <w:tmpl w:val="B1B621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76910"/>
    <w:multiLevelType w:val="hybridMultilevel"/>
    <w:tmpl w:val="2D64D3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B24D8"/>
    <w:multiLevelType w:val="hybridMultilevel"/>
    <w:tmpl w:val="1018D326"/>
    <w:lvl w:ilvl="0" w:tplc="DA801FAC">
      <w:start w:val="1"/>
      <w:numFmt w:val="bullet"/>
      <w:lvlText w:val="-"/>
      <w:lvlJc w:val="left"/>
      <w:pPr>
        <w:ind w:left="1512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B0E1D5F"/>
    <w:multiLevelType w:val="hybridMultilevel"/>
    <w:tmpl w:val="D3BC5E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75F"/>
    <w:multiLevelType w:val="hybridMultilevel"/>
    <w:tmpl w:val="04F20C7E"/>
    <w:lvl w:ilvl="0" w:tplc="06E24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E1C38"/>
    <w:multiLevelType w:val="hybridMultilevel"/>
    <w:tmpl w:val="689EE05E"/>
    <w:lvl w:ilvl="0" w:tplc="F60249CC">
      <w:start w:val="1"/>
      <w:numFmt w:val="bullet"/>
      <w:lvlText w:val="­"/>
      <w:lvlJc w:val="left"/>
      <w:pPr>
        <w:ind w:left="216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4B4232"/>
    <w:multiLevelType w:val="hybridMultilevel"/>
    <w:tmpl w:val="F6A4955C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777601"/>
    <w:multiLevelType w:val="hybridMultilevel"/>
    <w:tmpl w:val="E236D7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905"/>
    <w:multiLevelType w:val="hybridMultilevel"/>
    <w:tmpl w:val="0798A114"/>
    <w:lvl w:ilvl="0" w:tplc="F60249CC">
      <w:start w:val="1"/>
      <w:numFmt w:val="bullet"/>
      <w:lvlText w:val="­"/>
      <w:lvlJc w:val="left"/>
      <w:pPr>
        <w:ind w:left="78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2B6A42"/>
    <w:multiLevelType w:val="hybridMultilevel"/>
    <w:tmpl w:val="23C0FC2E"/>
    <w:lvl w:ilvl="0" w:tplc="DA801FAC">
      <w:start w:val="1"/>
      <w:numFmt w:val="bullet"/>
      <w:lvlText w:val="-"/>
      <w:lvlJc w:val="left"/>
      <w:pPr>
        <w:ind w:left="120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F4E7FC8"/>
    <w:multiLevelType w:val="hybridMultilevel"/>
    <w:tmpl w:val="C9D218E8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E37DB"/>
    <w:multiLevelType w:val="hybridMultilevel"/>
    <w:tmpl w:val="1ACEB1C2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4C5CA6"/>
    <w:multiLevelType w:val="hybridMultilevel"/>
    <w:tmpl w:val="CAB4F5BA"/>
    <w:lvl w:ilvl="0" w:tplc="88C68F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26C"/>
    <w:multiLevelType w:val="hybridMultilevel"/>
    <w:tmpl w:val="39ACE0EC"/>
    <w:lvl w:ilvl="0" w:tplc="C6846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022F01"/>
    <w:multiLevelType w:val="hybridMultilevel"/>
    <w:tmpl w:val="E5DCE740"/>
    <w:lvl w:ilvl="0" w:tplc="F60249CC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16503"/>
    <w:multiLevelType w:val="hybridMultilevel"/>
    <w:tmpl w:val="2AF2E9F2"/>
    <w:lvl w:ilvl="0" w:tplc="06E24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6E24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B4B09"/>
    <w:multiLevelType w:val="hybridMultilevel"/>
    <w:tmpl w:val="6EE84A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2"/>
  </w:num>
  <w:num w:numId="5">
    <w:abstractNumId w:val="9"/>
  </w:num>
  <w:num w:numId="6">
    <w:abstractNumId w:val="25"/>
  </w:num>
  <w:num w:numId="7">
    <w:abstractNumId w:val="23"/>
  </w:num>
  <w:num w:numId="8">
    <w:abstractNumId w:val="26"/>
  </w:num>
  <w:num w:numId="9">
    <w:abstractNumId w:val="29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1"/>
  </w:num>
  <w:num w:numId="15">
    <w:abstractNumId w:val="20"/>
  </w:num>
  <w:num w:numId="16">
    <w:abstractNumId w:val="30"/>
  </w:num>
  <w:num w:numId="17">
    <w:abstractNumId w:val="28"/>
  </w:num>
  <w:num w:numId="18">
    <w:abstractNumId w:val="19"/>
  </w:num>
  <w:num w:numId="19">
    <w:abstractNumId w:val="27"/>
  </w:num>
  <w:num w:numId="20">
    <w:abstractNumId w:val="7"/>
  </w:num>
  <w:num w:numId="21">
    <w:abstractNumId w:val="16"/>
  </w:num>
  <w:num w:numId="22">
    <w:abstractNumId w:val="10"/>
  </w:num>
  <w:num w:numId="23">
    <w:abstractNumId w:val="18"/>
  </w:num>
  <w:num w:numId="24">
    <w:abstractNumId w:val="17"/>
  </w:num>
  <w:num w:numId="25">
    <w:abstractNumId w:val="24"/>
  </w:num>
  <w:num w:numId="26">
    <w:abstractNumId w:val="14"/>
  </w:num>
  <w:num w:numId="27">
    <w:abstractNumId w:val="6"/>
  </w:num>
  <w:num w:numId="28">
    <w:abstractNumId w:val="3"/>
  </w:num>
  <w:num w:numId="29">
    <w:abstractNumId w:val="2"/>
  </w:num>
  <w:num w:numId="30">
    <w:abstractNumId w:val="5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53"/>
    <w:rsid w:val="0003182F"/>
    <w:rsid w:val="000376FA"/>
    <w:rsid w:val="00053339"/>
    <w:rsid w:val="000559ED"/>
    <w:rsid w:val="00057E21"/>
    <w:rsid w:val="000768C9"/>
    <w:rsid w:val="00093207"/>
    <w:rsid w:val="000C238A"/>
    <w:rsid w:val="000E4B51"/>
    <w:rsid w:val="001025BA"/>
    <w:rsid w:val="00127F46"/>
    <w:rsid w:val="00141F80"/>
    <w:rsid w:val="001442B0"/>
    <w:rsid w:val="001A109F"/>
    <w:rsid w:val="001D43ED"/>
    <w:rsid w:val="001E2CFD"/>
    <w:rsid w:val="001F1EA7"/>
    <w:rsid w:val="001F4454"/>
    <w:rsid w:val="002032AB"/>
    <w:rsid w:val="00247917"/>
    <w:rsid w:val="002547FE"/>
    <w:rsid w:val="00255823"/>
    <w:rsid w:val="002624A6"/>
    <w:rsid w:val="00262BF1"/>
    <w:rsid w:val="00290552"/>
    <w:rsid w:val="00295C3A"/>
    <w:rsid w:val="002A3F69"/>
    <w:rsid w:val="002A4DC2"/>
    <w:rsid w:val="002B1DD5"/>
    <w:rsid w:val="002D350D"/>
    <w:rsid w:val="002E6A63"/>
    <w:rsid w:val="00305200"/>
    <w:rsid w:val="00312E5F"/>
    <w:rsid w:val="00317693"/>
    <w:rsid w:val="00333955"/>
    <w:rsid w:val="003650E0"/>
    <w:rsid w:val="00372085"/>
    <w:rsid w:val="003928E4"/>
    <w:rsid w:val="003B2F10"/>
    <w:rsid w:val="003D12E4"/>
    <w:rsid w:val="003E06E2"/>
    <w:rsid w:val="00433658"/>
    <w:rsid w:val="00491967"/>
    <w:rsid w:val="00497EC7"/>
    <w:rsid w:val="004B4015"/>
    <w:rsid w:val="004B63BC"/>
    <w:rsid w:val="004C760A"/>
    <w:rsid w:val="004D2A5F"/>
    <w:rsid w:val="004D4AE3"/>
    <w:rsid w:val="00526224"/>
    <w:rsid w:val="005853EE"/>
    <w:rsid w:val="005B0C95"/>
    <w:rsid w:val="005B254F"/>
    <w:rsid w:val="005B57BE"/>
    <w:rsid w:val="005C3F7B"/>
    <w:rsid w:val="005C495C"/>
    <w:rsid w:val="005D3CF2"/>
    <w:rsid w:val="00616FED"/>
    <w:rsid w:val="00626685"/>
    <w:rsid w:val="00633700"/>
    <w:rsid w:val="006461F2"/>
    <w:rsid w:val="00681053"/>
    <w:rsid w:val="006D16EA"/>
    <w:rsid w:val="006D71DC"/>
    <w:rsid w:val="006E24EF"/>
    <w:rsid w:val="006F1D30"/>
    <w:rsid w:val="006F7AB4"/>
    <w:rsid w:val="00700F37"/>
    <w:rsid w:val="00716187"/>
    <w:rsid w:val="007F34C9"/>
    <w:rsid w:val="007F4AC1"/>
    <w:rsid w:val="0082138D"/>
    <w:rsid w:val="00856EA6"/>
    <w:rsid w:val="00891909"/>
    <w:rsid w:val="00896F96"/>
    <w:rsid w:val="008D05CA"/>
    <w:rsid w:val="008D7384"/>
    <w:rsid w:val="008E78D7"/>
    <w:rsid w:val="009206F8"/>
    <w:rsid w:val="0096204D"/>
    <w:rsid w:val="009F3404"/>
    <w:rsid w:val="009F5294"/>
    <w:rsid w:val="00A3228A"/>
    <w:rsid w:val="00A405B4"/>
    <w:rsid w:val="00A47792"/>
    <w:rsid w:val="00A61671"/>
    <w:rsid w:val="00A920E5"/>
    <w:rsid w:val="00AB53E1"/>
    <w:rsid w:val="00B24536"/>
    <w:rsid w:val="00B37BE7"/>
    <w:rsid w:val="00BA3CC0"/>
    <w:rsid w:val="00BC2E7B"/>
    <w:rsid w:val="00BD34A1"/>
    <w:rsid w:val="00C0337B"/>
    <w:rsid w:val="00C2189E"/>
    <w:rsid w:val="00C3493E"/>
    <w:rsid w:val="00C81572"/>
    <w:rsid w:val="00C9039A"/>
    <w:rsid w:val="00C95AD8"/>
    <w:rsid w:val="00CA07DE"/>
    <w:rsid w:val="00CB224C"/>
    <w:rsid w:val="00CC3972"/>
    <w:rsid w:val="00CC5913"/>
    <w:rsid w:val="00D04EC6"/>
    <w:rsid w:val="00D20A4C"/>
    <w:rsid w:val="00D71C15"/>
    <w:rsid w:val="00DA20AB"/>
    <w:rsid w:val="00DC5F90"/>
    <w:rsid w:val="00DD40E0"/>
    <w:rsid w:val="00DD58F3"/>
    <w:rsid w:val="00DF1563"/>
    <w:rsid w:val="00E4640A"/>
    <w:rsid w:val="00E6547D"/>
    <w:rsid w:val="00E74B59"/>
    <w:rsid w:val="00EA33C5"/>
    <w:rsid w:val="00EB70CD"/>
    <w:rsid w:val="00ED2926"/>
    <w:rsid w:val="00F22279"/>
    <w:rsid w:val="00F33203"/>
    <w:rsid w:val="00F57517"/>
    <w:rsid w:val="00F61C08"/>
    <w:rsid w:val="00F842DA"/>
    <w:rsid w:val="00F94B79"/>
    <w:rsid w:val="00FA2B57"/>
    <w:rsid w:val="00FC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8A6733"/>
  <w15:docId w15:val="{DCA36564-D7D7-456F-AF37-41C473E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B224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8105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81053"/>
  </w:style>
  <w:style w:type="paragraph" w:styleId="Kjene">
    <w:name w:val="footer"/>
    <w:basedOn w:val="Parasts"/>
    <w:link w:val="KjeneRakstz"/>
    <w:uiPriority w:val="99"/>
    <w:unhideWhenUsed/>
    <w:rsid w:val="006810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1053"/>
  </w:style>
  <w:style w:type="paragraph" w:styleId="Balonteksts">
    <w:name w:val="Balloon Text"/>
    <w:basedOn w:val="Parasts"/>
    <w:link w:val="BalontekstsRakstz"/>
    <w:uiPriority w:val="99"/>
    <w:semiHidden/>
    <w:unhideWhenUsed/>
    <w:rsid w:val="0068105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105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C760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27F46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1F1EA7"/>
    <w:rPr>
      <w:rFonts w:ascii="Calibri" w:eastAsia="Calibri" w:hAnsi="Calibri" w:cs="Times New Roman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2453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B2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izm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a.susta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Kristaps</dc:creator>
  <cp:lastModifiedBy>User</cp:lastModifiedBy>
  <cp:revision>12</cp:revision>
  <cp:lastPrinted>2023-03-02T10:22:00Z</cp:lastPrinted>
  <dcterms:created xsi:type="dcterms:W3CDTF">2023-03-02T09:29:00Z</dcterms:created>
  <dcterms:modified xsi:type="dcterms:W3CDTF">2023-03-02T10:22:00Z</dcterms:modified>
</cp:coreProperties>
</file>